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FE93" w14:textId="721ABD9C" w:rsidR="003529F0" w:rsidRPr="000601A7" w:rsidRDefault="003529F0" w:rsidP="003529F0">
      <w:pPr>
        <w:jc w:val="center"/>
        <w:rPr>
          <w:rFonts w:asciiTheme="minorHAnsi" w:hAnsiTheme="minorHAnsi"/>
          <w:b/>
          <w:bCs/>
        </w:rPr>
      </w:pPr>
      <w:r w:rsidRPr="000601A7">
        <w:rPr>
          <w:rFonts w:asciiTheme="minorHAnsi" w:hAnsiTheme="minorHAnsi"/>
          <w:b/>
          <w:bCs/>
        </w:rPr>
        <w:t xml:space="preserve">VALTAKIRJA </w:t>
      </w:r>
      <w:r w:rsidR="00B73C1A" w:rsidRPr="000601A7">
        <w:rPr>
          <w:rFonts w:asciiTheme="minorHAnsi" w:hAnsiTheme="minorHAnsi"/>
          <w:b/>
          <w:bCs/>
        </w:rPr>
        <w:t>RAUTE</w:t>
      </w:r>
      <w:r w:rsidRPr="000601A7">
        <w:rPr>
          <w:rFonts w:asciiTheme="minorHAnsi" w:hAnsiTheme="minorHAnsi"/>
          <w:b/>
          <w:bCs/>
        </w:rPr>
        <w:t xml:space="preserve"> OYJ:N YHTIÖKOKOUSTA VARTEN</w:t>
      </w:r>
    </w:p>
    <w:p w14:paraId="7D261F85" w14:textId="77777777" w:rsidR="003529F0" w:rsidRPr="000601A7" w:rsidRDefault="003529F0" w:rsidP="003529F0">
      <w:pPr>
        <w:rPr>
          <w:rFonts w:asciiTheme="minorHAnsi" w:hAnsiTheme="minorHAnsi"/>
        </w:rPr>
      </w:pPr>
    </w:p>
    <w:p w14:paraId="3A943484" w14:textId="0940C3B0" w:rsidR="003529F0" w:rsidRPr="000601A7" w:rsidRDefault="003529F0" w:rsidP="004B4E45">
      <w:pPr>
        <w:jc w:val="both"/>
        <w:rPr>
          <w:rFonts w:asciiTheme="minorHAnsi" w:hAnsiTheme="minorHAnsi"/>
        </w:rPr>
      </w:pPr>
      <w:r w:rsidRPr="000601A7">
        <w:rPr>
          <w:rFonts w:asciiTheme="minorHAnsi" w:hAnsiTheme="minorHAnsi"/>
        </w:rPr>
        <w:t xml:space="preserve">Valtuutan/valtuutamme </w:t>
      </w:r>
      <w:r w:rsidR="00464A89">
        <w:rPr>
          <w:rFonts w:asciiTheme="minorHAnsi" w:hAnsiTheme="minorHAnsi"/>
        </w:rPr>
        <w:t>____________________________________________</w:t>
      </w:r>
      <w:bookmarkStart w:id="0" w:name="_GoBack"/>
      <w:bookmarkEnd w:id="0"/>
      <w:r w:rsidRPr="000601A7">
        <w:rPr>
          <w:rFonts w:asciiTheme="minorHAnsi" w:hAnsiTheme="minorHAnsi"/>
        </w:rPr>
        <w:t xml:space="preserve">, tai hänen määräämänsä, edustamaan minua/meitä sekä äänestämään kaikilla osakkeillani/osakkeillamme alla olevien äänestysohjeiden mukaisesti </w:t>
      </w:r>
      <w:r w:rsidR="00B73C1A" w:rsidRPr="000601A7">
        <w:rPr>
          <w:rFonts w:asciiTheme="minorHAnsi" w:hAnsiTheme="minorHAnsi"/>
        </w:rPr>
        <w:t xml:space="preserve">Raute </w:t>
      </w:r>
      <w:r w:rsidRPr="000601A7">
        <w:rPr>
          <w:rFonts w:asciiTheme="minorHAnsi" w:hAnsiTheme="minorHAnsi"/>
        </w:rPr>
        <w:t xml:space="preserve">Oyj:n </w:t>
      </w:r>
      <w:r w:rsidR="00B73C1A" w:rsidRPr="000601A7">
        <w:rPr>
          <w:rFonts w:asciiTheme="minorHAnsi" w:hAnsiTheme="minorHAnsi"/>
        </w:rPr>
        <w:t>31</w:t>
      </w:r>
      <w:r w:rsidRPr="000601A7">
        <w:rPr>
          <w:rFonts w:asciiTheme="minorHAnsi" w:hAnsiTheme="minorHAnsi"/>
        </w:rPr>
        <w:t>.</w:t>
      </w:r>
      <w:r w:rsidR="00C27D46" w:rsidRPr="000601A7">
        <w:rPr>
          <w:rFonts w:asciiTheme="minorHAnsi" w:hAnsiTheme="minorHAnsi"/>
        </w:rPr>
        <w:t>3</w:t>
      </w:r>
      <w:r w:rsidRPr="000601A7">
        <w:rPr>
          <w:rFonts w:asciiTheme="minorHAnsi" w:hAnsiTheme="minorHAnsi"/>
        </w:rPr>
        <w:t>.202</w:t>
      </w:r>
      <w:r w:rsidR="00C27D46" w:rsidRPr="000601A7">
        <w:rPr>
          <w:rFonts w:asciiTheme="minorHAnsi" w:hAnsiTheme="minorHAnsi"/>
        </w:rPr>
        <w:t>1</w:t>
      </w:r>
      <w:r w:rsidRPr="000601A7">
        <w:rPr>
          <w:rFonts w:asciiTheme="minorHAnsi" w:hAnsiTheme="minorHAnsi"/>
        </w:rPr>
        <w:t xml:space="preserve"> pidettävässä varsinaisessa yhtiökokouksessa.</w:t>
      </w:r>
    </w:p>
    <w:p w14:paraId="62AF87E3" w14:textId="77777777" w:rsidR="003529F0" w:rsidRPr="000601A7" w:rsidRDefault="003529F0" w:rsidP="003529F0">
      <w:pPr>
        <w:rPr>
          <w:rFonts w:asciiTheme="minorHAnsi" w:hAnsiTheme="minorHAnsi"/>
        </w:rPr>
      </w:pPr>
    </w:p>
    <w:p w14:paraId="02FD0ACD" w14:textId="77777777" w:rsidR="003529F0" w:rsidRPr="000601A7" w:rsidRDefault="003529F0" w:rsidP="003529F0">
      <w:pPr>
        <w:rPr>
          <w:rFonts w:asciiTheme="minorHAnsi" w:hAnsiTheme="minorHAnsi"/>
        </w:rPr>
      </w:pPr>
      <w:r w:rsidRPr="000601A7">
        <w:rPr>
          <w:rFonts w:asciiTheme="minorHAnsi" w:hAnsiTheme="minorHAnsi"/>
        </w:rPr>
        <w:t>Paikka ja päiväys</w:t>
      </w:r>
      <w:r w:rsidRPr="000601A7">
        <w:rPr>
          <w:rFonts w:asciiTheme="minorHAnsi" w:hAnsiTheme="minorHAnsi"/>
        </w:rPr>
        <w:tab/>
      </w:r>
      <w:r w:rsidRPr="000601A7">
        <w:rPr>
          <w:rFonts w:asciiTheme="minorHAnsi" w:hAnsiTheme="minorHAnsi"/>
        </w:rPr>
        <w:tab/>
        <w:t>______________________________</w:t>
      </w:r>
    </w:p>
    <w:p w14:paraId="40940D33" w14:textId="77777777" w:rsidR="003529F0" w:rsidRPr="000601A7" w:rsidRDefault="003529F0" w:rsidP="003529F0">
      <w:pPr>
        <w:rPr>
          <w:rFonts w:asciiTheme="minorHAnsi" w:hAnsiTheme="minorHAnsi"/>
        </w:rPr>
      </w:pPr>
      <w:r w:rsidRPr="000601A7">
        <w:rPr>
          <w:rFonts w:asciiTheme="minorHAnsi" w:hAnsiTheme="minorHAnsi"/>
        </w:rPr>
        <w:t>Osakkeenomistajan nimi</w:t>
      </w:r>
      <w:r w:rsidRPr="000601A7">
        <w:rPr>
          <w:rFonts w:asciiTheme="minorHAnsi" w:hAnsiTheme="minorHAnsi"/>
        </w:rPr>
        <w:tab/>
      </w:r>
      <w:r w:rsidRPr="000601A7">
        <w:rPr>
          <w:rFonts w:asciiTheme="minorHAnsi" w:hAnsiTheme="minorHAnsi"/>
        </w:rPr>
        <w:tab/>
        <w:t>______________________________</w:t>
      </w:r>
    </w:p>
    <w:p w14:paraId="0ACB3640" w14:textId="77777777" w:rsidR="003529F0" w:rsidRPr="000601A7" w:rsidRDefault="003529F0" w:rsidP="003529F0">
      <w:pPr>
        <w:rPr>
          <w:rFonts w:asciiTheme="minorHAnsi" w:hAnsiTheme="minorHAnsi"/>
        </w:rPr>
      </w:pPr>
      <w:r w:rsidRPr="000601A7">
        <w:rPr>
          <w:rFonts w:asciiTheme="minorHAnsi" w:hAnsiTheme="minorHAnsi"/>
        </w:rPr>
        <w:t>(jos muu kuin valtuuttaja)</w:t>
      </w:r>
    </w:p>
    <w:p w14:paraId="30ECDBC4" w14:textId="77777777" w:rsidR="003529F0" w:rsidRPr="000601A7" w:rsidRDefault="003529F0" w:rsidP="003529F0">
      <w:pPr>
        <w:rPr>
          <w:rFonts w:asciiTheme="minorHAnsi" w:hAnsiTheme="minorHAnsi"/>
        </w:rPr>
      </w:pPr>
      <w:r w:rsidRPr="000601A7">
        <w:rPr>
          <w:rFonts w:asciiTheme="minorHAnsi" w:hAnsiTheme="minorHAnsi"/>
        </w:rPr>
        <w:t>Allekirjoitus</w:t>
      </w:r>
      <w:r w:rsidRPr="000601A7">
        <w:rPr>
          <w:rFonts w:asciiTheme="minorHAnsi" w:hAnsiTheme="minorHAnsi"/>
        </w:rPr>
        <w:tab/>
      </w:r>
      <w:r w:rsidRPr="000601A7">
        <w:rPr>
          <w:rFonts w:asciiTheme="minorHAnsi" w:hAnsiTheme="minorHAnsi"/>
        </w:rPr>
        <w:tab/>
      </w:r>
      <w:r w:rsidRPr="000601A7">
        <w:rPr>
          <w:rFonts w:asciiTheme="minorHAnsi" w:hAnsiTheme="minorHAnsi"/>
        </w:rPr>
        <w:tab/>
        <w:t>______________________________</w:t>
      </w:r>
    </w:p>
    <w:p w14:paraId="09B7AF9F" w14:textId="77777777" w:rsidR="003529F0" w:rsidRPr="000601A7" w:rsidRDefault="003529F0" w:rsidP="003529F0">
      <w:pPr>
        <w:rPr>
          <w:rFonts w:asciiTheme="minorHAnsi" w:hAnsiTheme="minorHAnsi"/>
        </w:rPr>
      </w:pPr>
      <w:r w:rsidRPr="000601A7">
        <w:rPr>
          <w:rFonts w:asciiTheme="minorHAnsi" w:hAnsiTheme="minorHAnsi"/>
        </w:rPr>
        <w:t>Nimenselvennys</w:t>
      </w:r>
      <w:r w:rsidRPr="000601A7">
        <w:rPr>
          <w:rFonts w:asciiTheme="minorHAnsi" w:hAnsiTheme="minorHAnsi"/>
        </w:rPr>
        <w:tab/>
      </w:r>
      <w:r w:rsidRPr="000601A7">
        <w:rPr>
          <w:rFonts w:asciiTheme="minorHAnsi" w:hAnsiTheme="minorHAnsi"/>
        </w:rPr>
        <w:tab/>
        <w:t>______________________________</w:t>
      </w:r>
    </w:p>
    <w:p w14:paraId="66D909D3" w14:textId="77777777" w:rsidR="003529F0" w:rsidRPr="000601A7" w:rsidRDefault="003529F0" w:rsidP="003529F0">
      <w:pPr>
        <w:rPr>
          <w:rFonts w:asciiTheme="minorHAnsi" w:hAnsiTheme="minorHAnsi"/>
        </w:rPr>
      </w:pPr>
      <w:r w:rsidRPr="000601A7">
        <w:rPr>
          <w:rFonts w:asciiTheme="minorHAnsi" w:hAnsiTheme="minorHAnsi"/>
        </w:rPr>
        <w:t>Henkilötunnus/Y-tunnus</w:t>
      </w:r>
      <w:r w:rsidRPr="000601A7">
        <w:rPr>
          <w:rFonts w:asciiTheme="minorHAnsi" w:hAnsiTheme="minorHAnsi"/>
        </w:rPr>
        <w:tab/>
      </w:r>
      <w:r w:rsidRPr="000601A7">
        <w:rPr>
          <w:rFonts w:asciiTheme="minorHAnsi" w:hAnsiTheme="minorHAnsi"/>
        </w:rPr>
        <w:tab/>
        <w:t>______________________________</w:t>
      </w:r>
    </w:p>
    <w:p w14:paraId="2F5AE428" w14:textId="77777777" w:rsidR="003529F0" w:rsidRPr="000601A7" w:rsidRDefault="003529F0" w:rsidP="003529F0">
      <w:pPr>
        <w:rPr>
          <w:rFonts w:asciiTheme="minorHAnsi" w:hAnsiTheme="minorHAnsi"/>
        </w:rPr>
      </w:pPr>
      <w:r w:rsidRPr="000601A7">
        <w:rPr>
          <w:rFonts w:asciiTheme="minorHAnsi" w:hAnsiTheme="minorHAnsi"/>
        </w:rPr>
        <w:t>Puhelinnumero</w:t>
      </w:r>
      <w:r w:rsidRPr="000601A7">
        <w:rPr>
          <w:rFonts w:asciiTheme="minorHAnsi" w:hAnsiTheme="minorHAnsi"/>
        </w:rPr>
        <w:tab/>
      </w:r>
      <w:r w:rsidRPr="000601A7">
        <w:rPr>
          <w:rFonts w:asciiTheme="minorHAnsi" w:hAnsiTheme="minorHAnsi"/>
        </w:rPr>
        <w:tab/>
        <w:t>______________________________</w:t>
      </w:r>
    </w:p>
    <w:p w14:paraId="4CEF99B6" w14:textId="77777777" w:rsidR="003529F0" w:rsidRPr="000601A7" w:rsidRDefault="003529F0" w:rsidP="003529F0">
      <w:pPr>
        <w:rPr>
          <w:rFonts w:asciiTheme="minorHAnsi" w:hAnsiTheme="minorHAnsi"/>
        </w:rPr>
      </w:pPr>
    </w:p>
    <w:p w14:paraId="1EE8CA63" w14:textId="77777777" w:rsidR="003529F0" w:rsidRPr="000601A7" w:rsidRDefault="003529F0" w:rsidP="003529F0">
      <w:pPr>
        <w:rPr>
          <w:rFonts w:asciiTheme="minorHAnsi" w:hAnsiTheme="minorHAnsi"/>
        </w:rPr>
      </w:pPr>
    </w:p>
    <w:p w14:paraId="63A907B0" w14:textId="77777777" w:rsidR="003529F0" w:rsidRPr="000601A7" w:rsidRDefault="003529F0" w:rsidP="003529F0">
      <w:pPr>
        <w:rPr>
          <w:rFonts w:asciiTheme="minorHAnsi" w:hAnsiTheme="minorHAnsi"/>
        </w:rPr>
      </w:pPr>
    </w:p>
    <w:p w14:paraId="6698CEF7" w14:textId="77777777" w:rsidR="003529F0" w:rsidRPr="000601A7" w:rsidRDefault="003529F0" w:rsidP="003529F0">
      <w:pPr>
        <w:rPr>
          <w:rFonts w:asciiTheme="minorHAnsi" w:hAnsiTheme="minorHAnsi"/>
        </w:rPr>
      </w:pPr>
    </w:p>
    <w:p w14:paraId="0F48C661" w14:textId="77777777" w:rsidR="003529F0" w:rsidRPr="000601A7" w:rsidRDefault="003529F0" w:rsidP="003529F0">
      <w:pPr>
        <w:rPr>
          <w:rFonts w:asciiTheme="minorHAnsi" w:hAnsiTheme="minorHAnsi"/>
        </w:rPr>
      </w:pPr>
    </w:p>
    <w:p w14:paraId="62FE4E47" w14:textId="458AC0E5" w:rsidR="005C1496" w:rsidRPr="000601A7" w:rsidRDefault="003529F0" w:rsidP="004B4E45">
      <w:pPr>
        <w:jc w:val="both"/>
        <w:rPr>
          <w:rFonts w:asciiTheme="minorHAnsi" w:hAnsiTheme="minorHAnsi"/>
        </w:rPr>
      </w:pPr>
      <w:r w:rsidRPr="000601A7">
        <w:rPr>
          <w:rFonts w:asciiTheme="minorHAnsi" w:hAnsiTheme="minorHAnsi"/>
        </w:rPr>
        <w:t xml:space="preserve">Valtakirja pyydetään toimittamaan </w:t>
      </w:r>
      <w:r w:rsidR="00B73C1A" w:rsidRPr="000601A7">
        <w:rPr>
          <w:rFonts w:asciiTheme="minorHAnsi" w:hAnsiTheme="minorHAnsi"/>
        </w:rPr>
        <w:t>alkuperäisinä osoitteeseen Raute Oyj, Eija Salminen, PL 69, 15551 Nastola ennen yhtiökokouksen ilmoittautumisajan päättymistä (26.3.2021 kello 16.00)</w:t>
      </w:r>
      <w:r w:rsidRPr="000601A7">
        <w:rPr>
          <w:rFonts w:asciiTheme="minorHAnsi" w:hAnsiTheme="minorHAnsi"/>
        </w:rPr>
        <w:t>.</w:t>
      </w:r>
    </w:p>
    <w:p w14:paraId="2A5FC95E" w14:textId="37BCF2BE" w:rsidR="003529F0" w:rsidRPr="000601A7" w:rsidRDefault="003529F0" w:rsidP="003529F0">
      <w:pPr>
        <w:rPr>
          <w:rFonts w:asciiTheme="minorHAnsi" w:hAnsiTheme="minorHAnsi"/>
        </w:rPr>
      </w:pPr>
    </w:p>
    <w:p w14:paraId="66B92376" w14:textId="679247CC" w:rsidR="003529F0" w:rsidRPr="000601A7" w:rsidRDefault="003529F0" w:rsidP="003529F0">
      <w:pPr>
        <w:rPr>
          <w:rFonts w:asciiTheme="minorHAnsi" w:hAnsiTheme="minorHAnsi"/>
        </w:rPr>
      </w:pPr>
    </w:p>
    <w:p w14:paraId="71D94675" w14:textId="3770DF2E" w:rsidR="003529F0" w:rsidRPr="000601A7" w:rsidRDefault="003529F0" w:rsidP="003529F0">
      <w:pPr>
        <w:rPr>
          <w:rFonts w:asciiTheme="minorHAnsi" w:hAnsiTheme="minorHAnsi"/>
        </w:rPr>
      </w:pPr>
    </w:p>
    <w:p w14:paraId="002EB81D" w14:textId="1B59E031" w:rsidR="003529F0" w:rsidRPr="000601A7" w:rsidRDefault="003529F0" w:rsidP="003529F0">
      <w:pPr>
        <w:rPr>
          <w:rFonts w:asciiTheme="minorHAnsi" w:hAnsiTheme="minorHAnsi"/>
        </w:rPr>
      </w:pPr>
    </w:p>
    <w:p w14:paraId="61FA7F5B" w14:textId="61F4C031" w:rsidR="003529F0" w:rsidRPr="000601A7" w:rsidRDefault="003529F0" w:rsidP="003529F0">
      <w:pPr>
        <w:rPr>
          <w:rFonts w:asciiTheme="minorHAnsi" w:hAnsiTheme="minorHAnsi"/>
        </w:rPr>
      </w:pPr>
    </w:p>
    <w:p w14:paraId="44660D89" w14:textId="77777777" w:rsidR="00B73C1A" w:rsidRPr="000601A7" w:rsidRDefault="00B73C1A">
      <w:pPr>
        <w:rPr>
          <w:rFonts w:asciiTheme="minorHAnsi" w:hAnsiTheme="minorHAnsi"/>
          <w:b/>
          <w:bCs/>
        </w:rPr>
      </w:pPr>
      <w:r w:rsidRPr="000601A7">
        <w:rPr>
          <w:rFonts w:asciiTheme="minorHAnsi" w:hAnsiTheme="minorHAnsi"/>
          <w:b/>
          <w:bCs/>
        </w:rPr>
        <w:br w:type="page"/>
      </w:r>
    </w:p>
    <w:p w14:paraId="7A7B3D54" w14:textId="7716E542" w:rsidR="003529F0" w:rsidRPr="000601A7" w:rsidRDefault="003529F0" w:rsidP="003529F0">
      <w:pPr>
        <w:jc w:val="center"/>
        <w:rPr>
          <w:rFonts w:asciiTheme="minorHAnsi" w:hAnsiTheme="minorHAnsi"/>
          <w:b/>
          <w:bCs/>
        </w:rPr>
      </w:pPr>
      <w:r w:rsidRPr="000601A7">
        <w:rPr>
          <w:rFonts w:asciiTheme="minorHAnsi" w:hAnsiTheme="minorHAnsi"/>
          <w:b/>
          <w:bCs/>
        </w:rPr>
        <w:lastRenderedPageBreak/>
        <w:t>ÄÄNESTYSOHJEET</w:t>
      </w:r>
    </w:p>
    <w:p w14:paraId="64ECBB72" w14:textId="77777777" w:rsidR="003529F0" w:rsidRPr="000601A7" w:rsidRDefault="003529F0" w:rsidP="003529F0">
      <w:pPr>
        <w:rPr>
          <w:rFonts w:asciiTheme="minorHAnsi" w:hAnsiTheme="minorHAnsi"/>
        </w:rPr>
      </w:pPr>
    </w:p>
    <w:p w14:paraId="68DFEF09" w14:textId="77777777" w:rsidR="003529F0" w:rsidRPr="000601A7" w:rsidRDefault="003529F0" w:rsidP="004B4E45">
      <w:pPr>
        <w:jc w:val="both"/>
        <w:rPr>
          <w:rFonts w:asciiTheme="minorHAnsi" w:hAnsiTheme="minorHAnsi"/>
        </w:rPr>
      </w:pPr>
      <w:r w:rsidRPr="000601A7">
        <w:rPr>
          <w:rFonts w:asciiTheme="minorHAnsi" w:hAnsiTheme="minorHAnsi"/>
        </w:rPr>
        <w:t>Osakkeenomistajan nimi (nimenselvennys</w:t>
      </w:r>
      <w:proofErr w:type="gramStart"/>
      <w:r w:rsidRPr="000601A7">
        <w:rPr>
          <w:rFonts w:asciiTheme="minorHAnsi" w:hAnsiTheme="minorHAnsi"/>
        </w:rPr>
        <w:t>):_</w:t>
      </w:r>
      <w:proofErr w:type="gramEnd"/>
      <w:r w:rsidRPr="000601A7">
        <w:rPr>
          <w:rFonts w:asciiTheme="minorHAnsi" w:hAnsiTheme="minorHAnsi"/>
        </w:rPr>
        <w:t>__________________________________________________</w:t>
      </w:r>
    </w:p>
    <w:p w14:paraId="71E21850" w14:textId="77777777" w:rsidR="003529F0" w:rsidRPr="000601A7" w:rsidRDefault="003529F0" w:rsidP="004B4E45">
      <w:pPr>
        <w:jc w:val="both"/>
        <w:rPr>
          <w:rFonts w:asciiTheme="minorHAnsi" w:hAnsiTheme="minorHAnsi"/>
        </w:rPr>
      </w:pPr>
      <w:r w:rsidRPr="000601A7">
        <w:rPr>
          <w:rFonts w:asciiTheme="minorHAnsi" w:hAnsiTheme="minorHAnsi"/>
        </w:rPr>
        <w:t>Äänestysohjeiden antamiseksi asiamiehelle merkitkää rasti (X) alla oleviin kohtiin.</w:t>
      </w:r>
    </w:p>
    <w:p w14:paraId="09CBB26C" w14:textId="77777777" w:rsidR="003529F0" w:rsidRPr="000601A7" w:rsidRDefault="003529F0" w:rsidP="004B4E45">
      <w:pPr>
        <w:jc w:val="both"/>
        <w:rPr>
          <w:rFonts w:asciiTheme="minorHAnsi" w:hAnsiTheme="minorHAnsi"/>
        </w:rPr>
      </w:pPr>
    </w:p>
    <w:p w14:paraId="6688885D" w14:textId="5A5F95A0" w:rsidR="003529F0" w:rsidRPr="000601A7" w:rsidRDefault="003529F0" w:rsidP="004B4E45">
      <w:pPr>
        <w:jc w:val="both"/>
        <w:rPr>
          <w:rFonts w:asciiTheme="minorHAnsi" w:hAnsiTheme="minorHAnsi"/>
        </w:rPr>
      </w:pPr>
      <w:r w:rsidRPr="000601A7">
        <w:rPr>
          <w:rFonts w:asciiTheme="minorHAnsi" w:hAnsiTheme="minorHAnsi"/>
        </w:rPr>
        <w:t>Mikäli ette merkitse rasteja alla oleviin kohtiin, asiamiehenne äänestää varsinaisen yhtiökokouksen kutsussa esitettyjen ehdotuksien puolesta. Mikäli tämän valtakirjan antamisen jälkeen jotakin asiakohtaa koskeva päätösehdotus muuttuu joko ennen yhtiökokousta tai yhtiökokouskäsittelyn aikana tehdyn muutosehdotuksen vuoksi, pidättäydymme äänestämästä kyseisessä asiakohdassa.</w:t>
      </w:r>
    </w:p>
    <w:p w14:paraId="1EE43B4B" w14:textId="77777777" w:rsidR="003529F0" w:rsidRPr="000601A7" w:rsidRDefault="003529F0" w:rsidP="004B4E45">
      <w:pPr>
        <w:jc w:val="both"/>
        <w:rPr>
          <w:rFonts w:asciiTheme="minorHAnsi" w:hAnsiTheme="minorHAnsi"/>
        </w:rPr>
      </w:pPr>
    </w:p>
    <w:p w14:paraId="1FB4B3F5" w14:textId="495B6659" w:rsidR="003529F0" w:rsidRPr="000601A7" w:rsidRDefault="003529F0" w:rsidP="004B4E45">
      <w:pPr>
        <w:jc w:val="both"/>
        <w:rPr>
          <w:rFonts w:asciiTheme="minorHAnsi" w:hAnsiTheme="minorHAnsi"/>
        </w:rPr>
      </w:pPr>
      <w:r w:rsidRPr="000601A7">
        <w:rPr>
          <w:rFonts w:asciiTheme="minorHAnsi" w:hAnsiTheme="minorHAnsi"/>
        </w:rPr>
        <w:t>Käyttäessä</w:t>
      </w:r>
      <w:r w:rsidR="007F1284">
        <w:rPr>
          <w:rFonts w:asciiTheme="minorHAnsi" w:hAnsiTheme="minorHAnsi"/>
        </w:rPr>
        <w:t>än</w:t>
      </w:r>
      <w:r w:rsidRPr="000601A7">
        <w:rPr>
          <w:rFonts w:asciiTheme="minorHAnsi" w:hAnsiTheme="minorHAnsi"/>
        </w:rPr>
        <w:t xml:space="preserve"> tätä valtakirjaa osakkeenomistaja, joka on antanut äänestysohjeen äänestää päätösehdotusta vastaan tai pidättäytyä äänestämästä, ei vaadi täyden ääntenlaskun suorittamista, jos päätökselle tarvittava kannatus voidaan selvittää kokouksessa muutoin.</w:t>
      </w:r>
    </w:p>
    <w:p w14:paraId="2C49482F" w14:textId="1263013A" w:rsidR="003529F0" w:rsidRPr="000601A7" w:rsidRDefault="003529F0" w:rsidP="003529F0">
      <w:pPr>
        <w:rPr>
          <w:rFonts w:asciiTheme="minorHAnsi" w:hAnsiTheme="minorHAnsi"/>
        </w:rPr>
      </w:pPr>
    </w:p>
    <w:tbl>
      <w:tblPr>
        <w:tblStyle w:val="TableGrid"/>
        <w:tblW w:w="9854" w:type="dxa"/>
        <w:tblLayout w:type="fixed"/>
        <w:tblLook w:val="04A0" w:firstRow="1" w:lastRow="0" w:firstColumn="1" w:lastColumn="0" w:noHBand="0" w:noVBand="1"/>
      </w:tblPr>
      <w:tblGrid>
        <w:gridCol w:w="6629"/>
        <w:gridCol w:w="1075"/>
        <w:gridCol w:w="1075"/>
        <w:gridCol w:w="1075"/>
      </w:tblGrid>
      <w:tr w:rsidR="003529F0" w:rsidRPr="000601A7" w14:paraId="745EB6DC" w14:textId="77777777" w:rsidTr="004F17B6">
        <w:tc>
          <w:tcPr>
            <w:tcW w:w="6629" w:type="dxa"/>
          </w:tcPr>
          <w:p w14:paraId="38AEA7CB" w14:textId="77777777" w:rsidR="003529F0" w:rsidRPr="000601A7" w:rsidRDefault="003529F0" w:rsidP="004F17B6">
            <w:pPr>
              <w:pStyle w:val="borNormal"/>
              <w:spacing w:line="360" w:lineRule="auto"/>
              <w:rPr>
                <w:rFonts w:ascii="Calibri" w:hAnsi="Calibri" w:cs="Calibri"/>
                <w:b/>
                <w:lang w:val="fi-FI"/>
              </w:rPr>
            </w:pPr>
            <w:r w:rsidRPr="000601A7">
              <w:rPr>
                <w:rFonts w:ascii="Calibri" w:hAnsi="Calibri" w:cs="Calibri"/>
                <w:b/>
                <w:lang w:val="fi-FI"/>
              </w:rPr>
              <w:t>Päätöskohta</w:t>
            </w:r>
          </w:p>
        </w:tc>
        <w:tc>
          <w:tcPr>
            <w:tcW w:w="1075" w:type="dxa"/>
          </w:tcPr>
          <w:p w14:paraId="1F67E1E7" w14:textId="77777777" w:rsidR="003529F0" w:rsidRPr="000601A7" w:rsidRDefault="003529F0" w:rsidP="004F17B6">
            <w:pPr>
              <w:pStyle w:val="borNormal"/>
              <w:spacing w:line="360" w:lineRule="auto"/>
              <w:jc w:val="center"/>
              <w:rPr>
                <w:rFonts w:ascii="Calibri" w:hAnsi="Calibri" w:cs="Calibri"/>
                <w:b/>
                <w:lang w:val="fi-FI"/>
              </w:rPr>
            </w:pPr>
            <w:r w:rsidRPr="000601A7">
              <w:rPr>
                <w:rFonts w:ascii="Calibri" w:hAnsi="Calibri" w:cs="Calibri"/>
                <w:b/>
                <w:lang w:val="fi-FI"/>
              </w:rPr>
              <w:t>Puolesta</w:t>
            </w:r>
          </w:p>
        </w:tc>
        <w:tc>
          <w:tcPr>
            <w:tcW w:w="1075" w:type="dxa"/>
          </w:tcPr>
          <w:p w14:paraId="6F521582" w14:textId="77777777" w:rsidR="003529F0" w:rsidRPr="000601A7" w:rsidRDefault="003529F0" w:rsidP="004F17B6">
            <w:pPr>
              <w:pStyle w:val="borNormal"/>
              <w:spacing w:line="360" w:lineRule="auto"/>
              <w:jc w:val="center"/>
              <w:rPr>
                <w:rFonts w:ascii="Calibri" w:hAnsi="Calibri" w:cs="Calibri"/>
                <w:b/>
                <w:lang w:val="fi-FI"/>
              </w:rPr>
            </w:pPr>
            <w:r w:rsidRPr="000601A7">
              <w:rPr>
                <w:rFonts w:ascii="Calibri" w:hAnsi="Calibri" w:cs="Calibri"/>
                <w:b/>
                <w:lang w:val="fi-FI"/>
              </w:rPr>
              <w:t>Vastaan</w:t>
            </w:r>
          </w:p>
        </w:tc>
        <w:tc>
          <w:tcPr>
            <w:tcW w:w="1075" w:type="dxa"/>
          </w:tcPr>
          <w:p w14:paraId="3B101E14" w14:textId="77777777" w:rsidR="003529F0" w:rsidRPr="000601A7" w:rsidRDefault="003529F0" w:rsidP="004F17B6">
            <w:pPr>
              <w:pStyle w:val="borNormal"/>
              <w:spacing w:line="360" w:lineRule="auto"/>
              <w:jc w:val="center"/>
              <w:rPr>
                <w:rFonts w:ascii="Calibri" w:hAnsi="Calibri" w:cs="Calibri"/>
                <w:b/>
                <w:lang w:val="fi-FI"/>
              </w:rPr>
            </w:pPr>
            <w:r w:rsidRPr="000601A7">
              <w:rPr>
                <w:rFonts w:ascii="Calibri" w:hAnsi="Calibri" w:cs="Calibri"/>
                <w:b/>
                <w:lang w:val="fi-FI"/>
              </w:rPr>
              <w:t>Tyhjä</w:t>
            </w:r>
          </w:p>
        </w:tc>
      </w:tr>
      <w:tr w:rsidR="003529F0" w:rsidRPr="000601A7" w14:paraId="3F1A5F55" w14:textId="77777777" w:rsidTr="004F17B6">
        <w:tc>
          <w:tcPr>
            <w:tcW w:w="6629" w:type="dxa"/>
          </w:tcPr>
          <w:p w14:paraId="709A0EB4" w14:textId="50CCF81B"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 xml:space="preserve">7. Tilinpäätöksen </w:t>
            </w:r>
            <w:r w:rsidR="00B0076D" w:rsidRPr="000601A7">
              <w:rPr>
                <w:rFonts w:ascii="Calibri" w:hAnsi="Calibri" w:cs="Calibri"/>
                <w:sz w:val="18"/>
                <w:szCs w:val="18"/>
                <w:lang w:val="fi-FI"/>
              </w:rPr>
              <w:t xml:space="preserve">ja konsernitilinpäätöksen </w:t>
            </w:r>
            <w:r w:rsidRPr="000601A7">
              <w:rPr>
                <w:rFonts w:ascii="Calibri" w:hAnsi="Calibri" w:cs="Calibri"/>
                <w:sz w:val="18"/>
                <w:szCs w:val="18"/>
                <w:lang w:val="fi-FI"/>
              </w:rPr>
              <w:t>vahvistaminen</w:t>
            </w:r>
          </w:p>
        </w:tc>
        <w:tc>
          <w:tcPr>
            <w:tcW w:w="1075" w:type="dxa"/>
          </w:tcPr>
          <w:p w14:paraId="61330819" w14:textId="77777777" w:rsidR="003529F0" w:rsidRPr="000601A7" w:rsidRDefault="003529F0" w:rsidP="004F17B6">
            <w:pPr>
              <w:pStyle w:val="borNormal"/>
              <w:spacing w:line="360" w:lineRule="auto"/>
              <w:rPr>
                <w:rFonts w:ascii="Calibri" w:hAnsi="Calibri" w:cs="Calibri"/>
                <w:lang w:val="fi-FI"/>
              </w:rPr>
            </w:pPr>
          </w:p>
        </w:tc>
        <w:tc>
          <w:tcPr>
            <w:tcW w:w="1075" w:type="dxa"/>
          </w:tcPr>
          <w:p w14:paraId="7DCA98E5" w14:textId="77777777" w:rsidR="003529F0" w:rsidRPr="000601A7" w:rsidRDefault="003529F0" w:rsidP="004F17B6">
            <w:pPr>
              <w:pStyle w:val="borNormal"/>
              <w:spacing w:line="360" w:lineRule="auto"/>
              <w:rPr>
                <w:rFonts w:ascii="Calibri" w:hAnsi="Calibri" w:cs="Calibri"/>
                <w:lang w:val="fi-FI"/>
              </w:rPr>
            </w:pPr>
          </w:p>
        </w:tc>
        <w:tc>
          <w:tcPr>
            <w:tcW w:w="1075" w:type="dxa"/>
          </w:tcPr>
          <w:p w14:paraId="60588605" w14:textId="77777777" w:rsidR="003529F0" w:rsidRPr="000601A7" w:rsidRDefault="003529F0" w:rsidP="004F17B6">
            <w:pPr>
              <w:pStyle w:val="borNormal"/>
              <w:spacing w:line="360" w:lineRule="auto"/>
              <w:rPr>
                <w:rFonts w:ascii="Calibri" w:hAnsi="Calibri" w:cs="Calibri"/>
                <w:lang w:val="fi-FI"/>
              </w:rPr>
            </w:pPr>
          </w:p>
        </w:tc>
      </w:tr>
      <w:tr w:rsidR="003529F0" w:rsidRPr="000601A7" w14:paraId="3E00ABDD" w14:textId="77777777" w:rsidTr="007F7626">
        <w:tc>
          <w:tcPr>
            <w:tcW w:w="6629" w:type="dxa"/>
          </w:tcPr>
          <w:p w14:paraId="71C820D5" w14:textId="77777777"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8. Taseen osoittaman voiton käyttäminen ja osingonmaksusta päättäminen</w:t>
            </w:r>
          </w:p>
        </w:tc>
        <w:tc>
          <w:tcPr>
            <w:tcW w:w="1075" w:type="dxa"/>
          </w:tcPr>
          <w:p w14:paraId="25A08D3B"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1B56E208" w14:textId="77777777" w:rsidR="003529F0" w:rsidRPr="000601A7" w:rsidRDefault="003529F0" w:rsidP="004F17B6">
            <w:pPr>
              <w:pStyle w:val="borNormal"/>
              <w:spacing w:line="360" w:lineRule="auto"/>
              <w:rPr>
                <w:rFonts w:ascii="Calibri" w:hAnsi="Calibri" w:cs="Calibri"/>
                <w:lang w:val="fi-FI"/>
              </w:rPr>
            </w:pPr>
          </w:p>
        </w:tc>
        <w:tc>
          <w:tcPr>
            <w:tcW w:w="1075" w:type="dxa"/>
          </w:tcPr>
          <w:p w14:paraId="6F2A1F53" w14:textId="77777777" w:rsidR="003529F0" w:rsidRPr="000601A7" w:rsidRDefault="003529F0" w:rsidP="004F17B6">
            <w:pPr>
              <w:pStyle w:val="borNormal"/>
              <w:spacing w:line="360" w:lineRule="auto"/>
              <w:rPr>
                <w:rFonts w:ascii="Calibri" w:hAnsi="Calibri" w:cs="Calibri"/>
                <w:lang w:val="fi-FI"/>
              </w:rPr>
            </w:pPr>
          </w:p>
        </w:tc>
      </w:tr>
      <w:tr w:rsidR="003529F0" w:rsidRPr="000601A7" w14:paraId="094188FB" w14:textId="77777777" w:rsidTr="007F7626">
        <w:tc>
          <w:tcPr>
            <w:tcW w:w="6629" w:type="dxa"/>
          </w:tcPr>
          <w:p w14:paraId="3ACE08BD" w14:textId="77777777"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9. Vastuuvapaudesta päättäminen hallituksen jäsenille ja toimitusjohtajalle</w:t>
            </w:r>
          </w:p>
        </w:tc>
        <w:tc>
          <w:tcPr>
            <w:tcW w:w="1075" w:type="dxa"/>
            <w:shd w:val="clear" w:color="auto" w:fill="auto"/>
          </w:tcPr>
          <w:p w14:paraId="0D321121"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54C7E9FE"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1468884C" w14:textId="77777777" w:rsidR="003529F0" w:rsidRPr="000601A7" w:rsidRDefault="003529F0" w:rsidP="004F17B6">
            <w:pPr>
              <w:pStyle w:val="borNormal"/>
              <w:spacing w:line="360" w:lineRule="auto"/>
              <w:rPr>
                <w:rFonts w:ascii="Calibri" w:hAnsi="Calibri" w:cs="Calibri"/>
                <w:lang w:val="fi-FI"/>
              </w:rPr>
            </w:pPr>
          </w:p>
        </w:tc>
      </w:tr>
      <w:tr w:rsidR="00F746B0" w:rsidRPr="000601A7" w14:paraId="0F1658DA" w14:textId="77777777" w:rsidTr="007F7626">
        <w:tc>
          <w:tcPr>
            <w:tcW w:w="6629" w:type="dxa"/>
          </w:tcPr>
          <w:p w14:paraId="7304481A" w14:textId="65D0A2D3" w:rsidR="00F746B0" w:rsidRPr="000601A7" w:rsidRDefault="00F746B0" w:rsidP="004F17B6">
            <w:pPr>
              <w:pStyle w:val="borNormal"/>
              <w:spacing w:line="360" w:lineRule="auto"/>
              <w:rPr>
                <w:rFonts w:ascii="Calibri" w:hAnsi="Calibri" w:cs="Calibri"/>
                <w:sz w:val="18"/>
                <w:szCs w:val="18"/>
                <w:lang w:val="fi-FI"/>
              </w:rPr>
            </w:pPr>
            <w:r>
              <w:rPr>
                <w:rFonts w:ascii="Calibri" w:hAnsi="Calibri" w:cs="Calibri"/>
                <w:sz w:val="18"/>
                <w:szCs w:val="18"/>
                <w:lang w:val="fi-FI"/>
              </w:rPr>
              <w:t>10. Toimielinten palkitsemisraportin käsittely (*)</w:t>
            </w:r>
          </w:p>
        </w:tc>
        <w:tc>
          <w:tcPr>
            <w:tcW w:w="1075" w:type="dxa"/>
            <w:shd w:val="clear" w:color="auto" w:fill="auto"/>
          </w:tcPr>
          <w:p w14:paraId="064EF5AD" w14:textId="77777777" w:rsidR="00F746B0" w:rsidRPr="000601A7" w:rsidRDefault="00F746B0" w:rsidP="004F17B6">
            <w:pPr>
              <w:pStyle w:val="borNormal"/>
              <w:spacing w:line="360" w:lineRule="auto"/>
              <w:rPr>
                <w:rFonts w:ascii="Calibri" w:hAnsi="Calibri" w:cs="Calibri"/>
                <w:lang w:val="fi-FI"/>
              </w:rPr>
            </w:pPr>
          </w:p>
        </w:tc>
        <w:tc>
          <w:tcPr>
            <w:tcW w:w="1075" w:type="dxa"/>
            <w:shd w:val="clear" w:color="auto" w:fill="auto"/>
          </w:tcPr>
          <w:p w14:paraId="1E339470" w14:textId="77777777" w:rsidR="00F746B0" w:rsidRPr="000601A7" w:rsidRDefault="00F746B0" w:rsidP="004F17B6">
            <w:pPr>
              <w:pStyle w:val="borNormal"/>
              <w:spacing w:line="360" w:lineRule="auto"/>
              <w:rPr>
                <w:rFonts w:ascii="Calibri" w:hAnsi="Calibri" w:cs="Calibri"/>
                <w:lang w:val="fi-FI"/>
              </w:rPr>
            </w:pPr>
          </w:p>
        </w:tc>
        <w:tc>
          <w:tcPr>
            <w:tcW w:w="1075" w:type="dxa"/>
            <w:shd w:val="clear" w:color="auto" w:fill="auto"/>
          </w:tcPr>
          <w:p w14:paraId="3BD25512" w14:textId="77777777" w:rsidR="00F746B0" w:rsidRPr="000601A7" w:rsidRDefault="00F746B0" w:rsidP="004F17B6">
            <w:pPr>
              <w:pStyle w:val="borNormal"/>
              <w:spacing w:line="360" w:lineRule="auto"/>
              <w:rPr>
                <w:rFonts w:ascii="Calibri" w:hAnsi="Calibri" w:cs="Calibri"/>
                <w:lang w:val="fi-FI"/>
              </w:rPr>
            </w:pPr>
          </w:p>
        </w:tc>
      </w:tr>
      <w:tr w:rsidR="003529F0" w:rsidRPr="000601A7" w14:paraId="54014405" w14:textId="77777777" w:rsidTr="007F7626">
        <w:tc>
          <w:tcPr>
            <w:tcW w:w="6629" w:type="dxa"/>
          </w:tcPr>
          <w:p w14:paraId="3230AF98" w14:textId="1EA1B733"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1</w:t>
            </w:r>
            <w:r w:rsidR="00075B80">
              <w:rPr>
                <w:rFonts w:ascii="Calibri" w:hAnsi="Calibri" w:cs="Calibri"/>
                <w:sz w:val="18"/>
                <w:szCs w:val="18"/>
                <w:lang w:val="fi-FI"/>
              </w:rPr>
              <w:t>1</w:t>
            </w:r>
            <w:r w:rsidRPr="000601A7">
              <w:rPr>
                <w:rFonts w:ascii="Calibri" w:hAnsi="Calibri" w:cs="Calibri"/>
                <w:sz w:val="18"/>
                <w:szCs w:val="18"/>
                <w:lang w:val="fi-FI"/>
              </w:rPr>
              <w:t>. Hallituksen jäsenten palkkioista päättäminen</w:t>
            </w:r>
          </w:p>
        </w:tc>
        <w:tc>
          <w:tcPr>
            <w:tcW w:w="1075" w:type="dxa"/>
            <w:shd w:val="clear" w:color="auto" w:fill="auto"/>
          </w:tcPr>
          <w:p w14:paraId="10CD2CB8"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2A3941CC"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719DF65D" w14:textId="77777777" w:rsidR="003529F0" w:rsidRPr="000601A7" w:rsidRDefault="003529F0" w:rsidP="004F17B6">
            <w:pPr>
              <w:pStyle w:val="borNormal"/>
              <w:spacing w:line="360" w:lineRule="auto"/>
              <w:rPr>
                <w:rFonts w:ascii="Calibri" w:hAnsi="Calibri" w:cs="Calibri"/>
                <w:lang w:val="fi-FI"/>
              </w:rPr>
            </w:pPr>
          </w:p>
        </w:tc>
      </w:tr>
      <w:tr w:rsidR="003529F0" w:rsidRPr="000601A7" w14:paraId="46EDE069" w14:textId="77777777" w:rsidTr="007F7626">
        <w:tc>
          <w:tcPr>
            <w:tcW w:w="6629" w:type="dxa"/>
          </w:tcPr>
          <w:p w14:paraId="4F9B65EE" w14:textId="72DF04A6"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1</w:t>
            </w:r>
            <w:r w:rsidR="00075B80">
              <w:rPr>
                <w:rFonts w:ascii="Calibri" w:hAnsi="Calibri" w:cs="Calibri"/>
                <w:sz w:val="18"/>
                <w:szCs w:val="18"/>
                <w:lang w:val="fi-FI"/>
              </w:rPr>
              <w:t>2</w:t>
            </w:r>
            <w:r w:rsidRPr="000601A7">
              <w:rPr>
                <w:rFonts w:ascii="Calibri" w:hAnsi="Calibri" w:cs="Calibri"/>
                <w:sz w:val="18"/>
                <w:szCs w:val="18"/>
                <w:lang w:val="fi-FI"/>
              </w:rPr>
              <w:t>. Hallituksen jäsenten lukumäärästä päättäminen</w:t>
            </w:r>
          </w:p>
        </w:tc>
        <w:tc>
          <w:tcPr>
            <w:tcW w:w="1075" w:type="dxa"/>
            <w:shd w:val="clear" w:color="auto" w:fill="auto"/>
          </w:tcPr>
          <w:p w14:paraId="17A24DCE"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488F925B"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46EE8194" w14:textId="77777777" w:rsidR="003529F0" w:rsidRPr="000601A7" w:rsidRDefault="003529F0" w:rsidP="004F17B6">
            <w:pPr>
              <w:pStyle w:val="borNormal"/>
              <w:spacing w:line="360" w:lineRule="auto"/>
              <w:rPr>
                <w:rFonts w:ascii="Calibri" w:hAnsi="Calibri" w:cs="Calibri"/>
                <w:lang w:val="fi-FI"/>
              </w:rPr>
            </w:pPr>
          </w:p>
        </w:tc>
      </w:tr>
      <w:tr w:rsidR="003529F0" w:rsidRPr="000601A7" w14:paraId="2175C9BE" w14:textId="77777777" w:rsidTr="007F7626">
        <w:tc>
          <w:tcPr>
            <w:tcW w:w="6629" w:type="dxa"/>
          </w:tcPr>
          <w:p w14:paraId="2EC6E739" w14:textId="6A9E0C0F"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1</w:t>
            </w:r>
            <w:r w:rsidR="00075B80">
              <w:rPr>
                <w:rFonts w:ascii="Calibri" w:hAnsi="Calibri" w:cs="Calibri"/>
                <w:sz w:val="18"/>
                <w:szCs w:val="18"/>
                <w:lang w:val="fi-FI"/>
              </w:rPr>
              <w:t>3</w:t>
            </w:r>
            <w:r w:rsidRPr="000601A7">
              <w:rPr>
                <w:rFonts w:ascii="Calibri" w:hAnsi="Calibri" w:cs="Calibri"/>
                <w:sz w:val="18"/>
                <w:szCs w:val="18"/>
                <w:lang w:val="fi-FI"/>
              </w:rPr>
              <w:t>. Hallituksen jäsenten valitseminen</w:t>
            </w:r>
          </w:p>
        </w:tc>
        <w:tc>
          <w:tcPr>
            <w:tcW w:w="1075" w:type="dxa"/>
            <w:shd w:val="clear" w:color="auto" w:fill="auto"/>
          </w:tcPr>
          <w:p w14:paraId="1FA14FB3"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0A7B3F47"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35373194" w14:textId="77777777" w:rsidR="003529F0" w:rsidRPr="000601A7" w:rsidRDefault="003529F0" w:rsidP="004F17B6">
            <w:pPr>
              <w:pStyle w:val="borNormal"/>
              <w:spacing w:line="360" w:lineRule="auto"/>
              <w:rPr>
                <w:rFonts w:ascii="Calibri" w:hAnsi="Calibri" w:cs="Calibri"/>
                <w:lang w:val="fi-FI"/>
              </w:rPr>
            </w:pPr>
          </w:p>
        </w:tc>
      </w:tr>
      <w:tr w:rsidR="003529F0" w:rsidRPr="000601A7" w14:paraId="3A01B711" w14:textId="77777777" w:rsidTr="007F7626">
        <w:tc>
          <w:tcPr>
            <w:tcW w:w="6629" w:type="dxa"/>
          </w:tcPr>
          <w:p w14:paraId="3EC942BC" w14:textId="4DAE4CF2"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1</w:t>
            </w:r>
            <w:r w:rsidR="00075B80">
              <w:rPr>
                <w:rFonts w:ascii="Calibri" w:hAnsi="Calibri" w:cs="Calibri"/>
                <w:sz w:val="18"/>
                <w:szCs w:val="18"/>
                <w:lang w:val="fi-FI"/>
              </w:rPr>
              <w:t>4</w:t>
            </w:r>
            <w:r w:rsidRPr="000601A7">
              <w:rPr>
                <w:rFonts w:ascii="Calibri" w:hAnsi="Calibri" w:cs="Calibri"/>
                <w:sz w:val="18"/>
                <w:szCs w:val="18"/>
                <w:lang w:val="fi-FI"/>
              </w:rPr>
              <w:t>. Tilintarkastajan palkkio</w:t>
            </w:r>
            <w:r w:rsidR="00075B80">
              <w:rPr>
                <w:rFonts w:ascii="Calibri" w:hAnsi="Calibri" w:cs="Calibri"/>
                <w:sz w:val="18"/>
                <w:szCs w:val="18"/>
                <w:lang w:val="fi-FI"/>
              </w:rPr>
              <w:t>i</w:t>
            </w:r>
            <w:r w:rsidRPr="000601A7">
              <w:rPr>
                <w:rFonts w:ascii="Calibri" w:hAnsi="Calibri" w:cs="Calibri"/>
                <w:sz w:val="18"/>
                <w:szCs w:val="18"/>
                <w:lang w:val="fi-FI"/>
              </w:rPr>
              <w:t>sta päättäminen</w:t>
            </w:r>
          </w:p>
        </w:tc>
        <w:tc>
          <w:tcPr>
            <w:tcW w:w="1075" w:type="dxa"/>
            <w:shd w:val="clear" w:color="auto" w:fill="auto"/>
          </w:tcPr>
          <w:p w14:paraId="4A11EF6D"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2D1B0D3A"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01D741BE" w14:textId="77777777" w:rsidR="003529F0" w:rsidRPr="000601A7" w:rsidRDefault="003529F0" w:rsidP="004F17B6">
            <w:pPr>
              <w:pStyle w:val="borNormal"/>
              <w:spacing w:line="360" w:lineRule="auto"/>
              <w:rPr>
                <w:rFonts w:ascii="Calibri" w:hAnsi="Calibri" w:cs="Calibri"/>
                <w:lang w:val="fi-FI"/>
              </w:rPr>
            </w:pPr>
          </w:p>
        </w:tc>
      </w:tr>
      <w:tr w:rsidR="003529F0" w:rsidRPr="000601A7" w14:paraId="14CA378E" w14:textId="77777777" w:rsidTr="007F7626">
        <w:tc>
          <w:tcPr>
            <w:tcW w:w="6629" w:type="dxa"/>
          </w:tcPr>
          <w:p w14:paraId="6ED8E4FC" w14:textId="271C8916"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1</w:t>
            </w:r>
            <w:r w:rsidR="00075B80">
              <w:rPr>
                <w:rFonts w:ascii="Calibri" w:hAnsi="Calibri" w:cs="Calibri"/>
                <w:sz w:val="18"/>
                <w:szCs w:val="18"/>
                <w:lang w:val="fi-FI"/>
              </w:rPr>
              <w:t>5</w:t>
            </w:r>
            <w:r w:rsidRPr="000601A7">
              <w:rPr>
                <w:rFonts w:ascii="Calibri" w:hAnsi="Calibri" w:cs="Calibri"/>
                <w:sz w:val="18"/>
                <w:szCs w:val="18"/>
                <w:lang w:val="fi-FI"/>
              </w:rPr>
              <w:t>. Tilintarkastajan valitseminen</w:t>
            </w:r>
          </w:p>
        </w:tc>
        <w:tc>
          <w:tcPr>
            <w:tcW w:w="1075" w:type="dxa"/>
            <w:shd w:val="clear" w:color="auto" w:fill="auto"/>
          </w:tcPr>
          <w:p w14:paraId="11D59847"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4A3F91AB" w14:textId="77777777" w:rsidR="003529F0" w:rsidRPr="000601A7" w:rsidRDefault="003529F0" w:rsidP="004F17B6">
            <w:pPr>
              <w:pStyle w:val="borNormal"/>
              <w:spacing w:line="360" w:lineRule="auto"/>
              <w:rPr>
                <w:rFonts w:ascii="Calibri" w:hAnsi="Calibri" w:cs="Calibri"/>
                <w:lang w:val="fi-FI"/>
              </w:rPr>
            </w:pPr>
          </w:p>
        </w:tc>
        <w:tc>
          <w:tcPr>
            <w:tcW w:w="1075" w:type="dxa"/>
            <w:shd w:val="clear" w:color="auto" w:fill="auto"/>
          </w:tcPr>
          <w:p w14:paraId="03C4179B" w14:textId="77777777" w:rsidR="003529F0" w:rsidRPr="000601A7" w:rsidRDefault="003529F0" w:rsidP="004F17B6">
            <w:pPr>
              <w:pStyle w:val="borNormal"/>
              <w:spacing w:line="360" w:lineRule="auto"/>
              <w:rPr>
                <w:rFonts w:ascii="Calibri" w:hAnsi="Calibri" w:cs="Calibri"/>
                <w:lang w:val="fi-FI"/>
              </w:rPr>
            </w:pPr>
          </w:p>
        </w:tc>
      </w:tr>
      <w:tr w:rsidR="003529F0" w:rsidRPr="000601A7" w14:paraId="1FD2D69C" w14:textId="77777777" w:rsidTr="004F17B6">
        <w:tc>
          <w:tcPr>
            <w:tcW w:w="6629" w:type="dxa"/>
          </w:tcPr>
          <w:p w14:paraId="2CC1F670" w14:textId="7A10990A"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1</w:t>
            </w:r>
            <w:r w:rsidR="00075B80">
              <w:rPr>
                <w:rFonts w:ascii="Calibri" w:hAnsi="Calibri" w:cs="Calibri"/>
                <w:sz w:val="18"/>
                <w:szCs w:val="18"/>
                <w:lang w:val="fi-FI"/>
              </w:rPr>
              <w:t>6</w:t>
            </w:r>
            <w:r w:rsidRPr="000601A7">
              <w:rPr>
                <w:rFonts w:ascii="Calibri" w:hAnsi="Calibri" w:cs="Calibri"/>
                <w:sz w:val="18"/>
                <w:szCs w:val="18"/>
                <w:lang w:val="fi-FI"/>
              </w:rPr>
              <w:t xml:space="preserve">. </w:t>
            </w:r>
            <w:r w:rsidR="00075B80" w:rsidRPr="000601A7">
              <w:rPr>
                <w:rFonts w:ascii="Calibri" w:hAnsi="Calibri" w:cs="Calibri"/>
                <w:sz w:val="18"/>
                <w:szCs w:val="18"/>
                <w:lang w:val="fi-FI"/>
              </w:rPr>
              <w:t xml:space="preserve">Hallituksen valtuuttaminen päättämään omien osakkeiden hankkimisesta </w:t>
            </w:r>
          </w:p>
        </w:tc>
        <w:tc>
          <w:tcPr>
            <w:tcW w:w="1075" w:type="dxa"/>
          </w:tcPr>
          <w:p w14:paraId="2817F4D7" w14:textId="77777777" w:rsidR="003529F0" w:rsidRPr="000601A7" w:rsidRDefault="003529F0" w:rsidP="004F17B6">
            <w:pPr>
              <w:pStyle w:val="borNormal"/>
              <w:spacing w:line="360" w:lineRule="auto"/>
              <w:rPr>
                <w:rFonts w:ascii="Calibri" w:hAnsi="Calibri" w:cs="Calibri"/>
                <w:lang w:val="fi-FI"/>
              </w:rPr>
            </w:pPr>
          </w:p>
        </w:tc>
        <w:tc>
          <w:tcPr>
            <w:tcW w:w="1075" w:type="dxa"/>
          </w:tcPr>
          <w:p w14:paraId="3A18A0E4" w14:textId="77777777" w:rsidR="003529F0" w:rsidRPr="000601A7" w:rsidRDefault="003529F0" w:rsidP="004F17B6">
            <w:pPr>
              <w:pStyle w:val="borNormal"/>
              <w:spacing w:line="360" w:lineRule="auto"/>
              <w:rPr>
                <w:rFonts w:ascii="Calibri" w:hAnsi="Calibri" w:cs="Calibri"/>
                <w:lang w:val="fi-FI"/>
              </w:rPr>
            </w:pPr>
          </w:p>
        </w:tc>
        <w:tc>
          <w:tcPr>
            <w:tcW w:w="1075" w:type="dxa"/>
          </w:tcPr>
          <w:p w14:paraId="5DE11AED" w14:textId="77777777" w:rsidR="003529F0" w:rsidRPr="000601A7" w:rsidRDefault="003529F0" w:rsidP="004F17B6">
            <w:pPr>
              <w:pStyle w:val="borNormal"/>
              <w:spacing w:line="360" w:lineRule="auto"/>
              <w:rPr>
                <w:rFonts w:ascii="Calibri" w:hAnsi="Calibri" w:cs="Calibri"/>
                <w:lang w:val="fi-FI"/>
              </w:rPr>
            </w:pPr>
          </w:p>
        </w:tc>
      </w:tr>
      <w:tr w:rsidR="003529F0" w:rsidRPr="000601A7" w14:paraId="7174CCCB" w14:textId="77777777" w:rsidTr="004F17B6">
        <w:tc>
          <w:tcPr>
            <w:tcW w:w="6629" w:type="dxa"/>
          </w:tcPr>
          <w:p w14:paraId="767FD059" w14:textId="0144C372" w:rsidR="003529F0" w:rsidRPr="000601A7" w:rsidRDefault="003529F0" w:rsidP="004F17B6">
            <w:pPr>
              <w:pStyle w:val="borNormal"/>
              <w:spacing w:line="360" w:lineRule="auto"/>
              <w:rPr>
                <w:rFonts w:ascii="Calibri" w:hAnsi="Calibri" w:cs="Calibri"/>
                <w:sz w:val="18"/>
                <w:szCs w:val="18"/>
                <w:lang w:val="fi-FI"/>
              </w:rPr>
            </w:pPr>
            <w:r w:rsidRPr="000601A7">
              <w:rPr>
                <w:rFonts w:ascii="Calibri" w:hAnsi="Calibri" w:cs="Calibri"/>
                <w:sz w:val="18"/>
                <w:szCs w:val="18"/>
                <w:lang w:val="fi-FI"/>
              </w:rPr>
              <w:t>1</w:t>
            </w:r>
            <w:r w:rsidR="00FD2B01">
              <w:rPr>
                <w:rFonts w:ascii="Calibri" w:hAnsi="Calibri" w:cs="Calibri"/>
                <w:sz w:val="18"/>
                <w:szCs w:val="18"/>
                <w:lang w:val="fi-FI"/>
              </w:rPr>
              <w:t>7</w:t>
            </w:r>
            <w:r w:rsidRPr="000601A7">
              <w:rPr>
                <w:rFonts w:ascii="Calibri" w:hAnsi="Calibri" w:cs="Calibri"/>
                <w:sz w:val="18"/>
                <w:szCs w:val="18"/>
                <w:lang w:val="fi-FI"/>
              </w:rPr>
              <w:t xml:space="preserve">. </w:t>
            </w:r>
            <w:r w:rsidR="00075B80" w:rsidRPr="000601A7">
              <w:rPr>
                <w:rFonts w:ascii="Calibri" w:hAnsi="Calibri" w:cs="Calibri"/>
                <w:sz w:val="18"/>
                <w:szCs w:val="18"/>
                <w:lang w:val="fi-FI"/>
              </w:rPr>
              <w:t>Hallituksen valtuuttaminen päättämään osakeannista</w:t>
            </w:r>
          </w:p>
        </w:tc>
        <w:tc>
          <w:tcPr>
            <w:tcW w:w="1075" w:type="dxa"/>
          </w:tcPr>
          <w:p w14:paraId="2068D095" w14:textId="77777777" w:rsidR="003529F0" w:rsidRPr="000601A7" w:rsidRDefault="003529F0" w:rsidP="004F17B6">
            <w:pPr>
              <w:pStyle w:val="borNormal"/>
              <w:spacing w:line="360" w:lineRule="auto"/>
              <w:rPr>
                <w:rFonts w:ascii="Calibri" w:hAnsi="Calibri" w:cs="Calibri"/>
                <w:lang w:val="fi-FI"/>
              </w:rPr>
            </w:pPr>
          </w:p>
        </w:tc>
        <w:tc>
          <w:tcPr>
            <w:tcW w:w="1075" w:type="dxa"/>
          </w:tcPr>
          <w:p w14:paraId="7016AD7B" w14:textId="77777777" w:rsidR="003529F0" w:rsidRPr="000601A7" w:rsidRDefault="003529F0" w:rsidP="004F17B6">
            <w:pPr>
              <w:pStyle w:val="borNormal"/>
              <w:spacing w:line="360" w:lineRule="auto"/>
              <w:rPr>
                <w:rFonts w:ascii="Calibri" w:hAnsi="Calibri" w:cs="Calibri"/>
                <w:lang w:val="fi-FI"/>
              </w:rPr>
            </w:pPr>
          </w:p>
        </w:tc>
        <w:tc>
          <w:tcPr>
            <w:tcW w:w="1075" w:type="dxa"/>
          </w:tcPr>
          <w:p w14:paraId="310A4138" w14:textId="77777777" w:rsidR="003529F0" w:rsidRPr="000601A7" w:rsidRDefault="003529F0" w:rsidP="004F17B6">
            <w:pPr>
              <w:pStyle w:val="borNormal"/>
              <w:spacing w:line="360" w:lineRule="auto"/>
              <w:rPr>
                <w:rFonts w:ascii="Calibri" w:hAnsi="Calibri" w:cs="Calibri"/>
                <w:lang w:val="fi-FI"/>
              </w:rPr>
            </w:pPr>
          </w:p>
        </w:tc>
      </w:tr>
    </w:tbl>
    <w:p w14:paraId="7B32D2DA" w14:textId="100370EA" w:rsidR="003529F0" w:rsidRDefault="003529F0" w:rsidP="003529F0">
      <w:pPr>
        <w:rPr>
          <w:rFonts w:asciiTheme="minorHAnsi" w:hAnsiTheme="minorHAnsi"/>
        </w:rPr>
      </w:pPr>
    </w:p>
    <w:p w14:paraId="6F0F88F0" w14:textId="2A7320F8" w:rsidR="00F746B0" w:rsidRDefault="00F746B0" w:rsidP="003529F0">
      <w:pPr>
        <w:rPr>
          <w:rFonts w:asciiTheme="minorHAnsi" w:hAnsiTheme="minorHAnsi"/>
          <w:sz w:val="18"/>
          <w:szCs w:val="18"/>
        </w:rPr>
      </w:pPr>
      <w:r w:rsidRPr="00F746B0">
        <w:rPr>
          <w:rFonts w:asciiTheme="minorHAnsi" w:hAnsiTheme="minorHAnsi"/>
          <w:sz w:val="18"/>
          <w:szCs w:val="18"/>
        </w:rPr>
        <w:t>(*) Päätös on neuvoa-antava. Osakkeenomistajat eivät voi esittää muutoksia yhtiökokoukselle esitettyyn palkitsemispolitiikkaan</w:t>
      </w:r>
      <w:r>
        <w:rPr>
          <w:rFonts w:asciiTheme="minorHAnsi" w:hAnsiTheme="minorHAnsi"/>
          <w:sz w:val="18"/>
          <w:szCs w:val="18"/>
        </w:rPr>
        <w:t>.</w:t>
      </w:r>
    </w:p>
    <w:p w14:paraId="1DC4A356" w14:textId="1BBADA89" w:rsidR="00486873" w:rsidRDefault="00486873" w:rsidP="003529F0">
      <w:pPr>
        <w:rPr>
          <w:rFonts w:asciiTheme="minorHAnsi" w:hAnsiTheme="minorHAnsi"/>
          <w:sz w:val="18"/>
          <w:szCs w:val="18"/>
        </w:rPr>
      </w:pPr>
    </w:p>
    <w:p w14:paraId="6A5E6766" w14:textId="37901AE0" w:rsidR="00486873" w:rsidRPr="00F746B0" w:rsidRDefault="00486873" w:rsidP="003529F0">
      <w:pPr>
        <w:rPr>
          <w:rFonts w:asciiTheme="minorHAnsi" w:hAnsiTheme="minorHAnsi"/>
          <w:sz w:val="18"/>
          <w:szCs w:val="18"/>
        </w:rPr>
      </w:pPr>
      <w:r>
        <w:rPr>
          <w:rFonts w:asciiTheme="minorHAnsi" w:hAnsiTheme="minorHAnsi"/>
          <w:sz w:val="18"/>
          <w:szCs w:val="18"/>
        </w:rPr>
        <w:t>Mahdollisia muita äänestysohjeita:</w:t>
      </w:r>
    </w:p>
    <w:sectPr w:rsidR="00486873" w:rsidRPr="00F746B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DA72D" w14:textId="77777777" w:rsidR="00351BDA" w:rsidRDefault="00351BDA" w:rsidP="00351BDA">
      <w:pPr>
        <w:spacing w:after="0" w:line="240" w:lineRule="auto"/>
      </w:pPr>
      <w:r>
        <w:separator/>
      </w:r>
    </w:p>
  </w:endnote>
  <w:endnote w:type="continuationSeparator" w:id="0">
    <w:p w14:paraId="2233E7DA" w14:textId="77777777" w:rsidR="00351BDA" w:rsidRDefault="00351BDA" w:rsidP="0035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9A37" w14:textId="77777777" w:rsidR="00351BDA" w:rsidRDefault="00351BDA" w:rsidP="00351BDA">
      <w:pPr>
        <w:spacing w:after="0" w:line="240" w:lineRule="auto"/>
      </w:pPr>
      <w:r>
        <w:separator/>
      </w:r>
    </w:p>
  </w:footnote>
  <w:footnote w:type="continuationSeparator" w:id="0">
    <w:p w14:paraId="5ABB1847" w14:textId="77777777" w:rsidR="00351BDA" w:rsidRDefault="00351BDA" w:rsidP="00351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20BD"/>
    <w:multiLevelType w:val="multilevel"/>
    <w:tmpl w:val="65029C74"/>
    <w:styleLink w:val="Applexluettelo"/>
    <w:lvl w:ilvl="0">
      <w:start w:val="1"/>
      <w:numFmt w:val="decimal"/>
      <w:lvlText w:val="%1."/>
      <w:lvlJc w:val="left"/>
      <w:pPr>
        <w:ind w:left="1276" w:hanging="919"/>
      </w:pPr>
      <w:rPr>
        <w:rFonts w:hint="default"/>
      </w:rPr>
    </w:lvl>
    <w:lvl w:ilvl="1">
      <w:start w:val="1"/>
      <w:numFmt w:val="decimal"/>
      <w:isLgl/>
      <w:lvlText w:val="%1.%2"/>
      <w:lvlJc w:val="left"/>
      <w:pPr>
        <w:ind w:left="1276" w:hanging="919"/>
      </w:pPr>
      <w:rPr>
        <w:rFonts w:hint="default"/>
      </w:rPr>
    </w:lvl>
    <w:lvl w:ilvl="2">
      <w:start w:val="1"/>
      <w:numFmt w:val="decimal"/>
      <w:isLgl/>
      <w:lvlText w:val="%1.%2.%3"/>
      <w:lvlJc w:val="left"/>
      <w:pPr>
        <w:ind w:left="1276" w:hanging="919"/>
      </w:pPr>
      <w:rPr>
        <w:rFonts w:hint="default"/>
      </w:rPr>
    </w:lvl>
    <w:lvl w:ilvl="3">
      <w:start w:val="1"/>
      <w:numFmt w:val="decimal"/>
      <w:isLgl/>
      <w:lvlText w:val="%1.%2.%3.%4"/>
      <w:lvlJc w:val="left"/>
      <w:pPr>
        <w:ind w:left="1276" w:hanging="919"/>
      </w:pPr>
      <w:rPr>
        <w:rFonts w:hint="default"/>
      </w:rPr>
    </w:lvl>
    <w:lvl w:ilvl="4">
      <w:start w:val="1"/>
      <w:numFmt w:val="decimal"/>
      <w:isLgl/>
      <w:lvlText w:val="%1.%2.%3.%4.%5"/>
      <w:lvlJc w:val="left"/>
      <w:pPr>
        <w:ind w:left="1276" w:hanging="919"/>
      </w:pPr>
      <w:rPr>
        <w:rFonts w:hint="default"/>
      </w:rPr>
    </w:lvl>
    <w:lvl w:ilvl="5">
      <w:start w:val="1"/>
      <w:numFmt w:val="decimal"/>
      <w:isLgl/>
      <w:lvlText w:val="%1.%2.%3.%4.%5.%6"/>
      <w:lvlJc w:val="left"/>
      <w:pPr>
        <w:ind w:left="1276" w:hanging="919"/>
      </w:pPr>
      <w:rPr>
        <w:rFonts w:hint="default"/>
      </w:rPr>
    </w:lvl>
    <w:lvl w:ilvl="6">
      <w:start w:val="1"/>
      <w:numFmt w:val="decimal"/>
      <w:isLgl/>
      <w:lvlText w:val="%1.%2.%3.%4.%5.%6.%7"/>
      <w:lvlJc w:val="left"/>
      <w:pPr>
        <w:ind w:left="1276" w:hanging="919"/>
      </w:pPr>
      <w:rPr>
        <w:rFonts w:hint="default"/>
      </w:rPr>
    </w:lvl>
    <w:lvl w:ilvl="7">
      <w:start w:val="1"/>
      <w:numFmt w:val="decimal"/>
      <w:isLgl/>
      <w:lvlText w:val="%1.%2.%3.%4.%5.%6.%7.%8"/>
      <w:lvlJc w:val="left"/>
      <w:pPr>
        <w:ind w:left="1276" w:hanging="919"/>
      </w:pPr>
      <w:rPr>
        <w:rFonts w:hint="default"/>
      </w:rPr>
    </w:lvl>
    <w:lvl w:ilvl="8">
      <w:start w:val="1"/>
      <w:numFmt w:val="decimal"/>
      <w:isLgl/>
      <w:lvlText w:val="%1.%2.%3.%4.%5.%6.%7.%8.%9"/>
      <w:lvlJc w:val="left"/>
      <w:pPr>
        <w:ind w:left="1276" w:hanging="919"/>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A"/>
    <w:rsid w:val="000601A7"/>
    <w:rsid w:val="00075B80"/>
    <w:rsid w:val="00114B4A"/>
    <w:rsid w:val="001355C1"/>
    <w:rsid w:val="00165F43"/>
    <w:rsid w:val="00167AF7"/>
    <w:rsid w:val="001941F4"/>
    <w:rsid w:val="00267787"/>
    <w:rsid w:val="002D2033"/>
    <w:rsid w:val="00351BDA"/>
    <w:rsid w:val="003529F0"/>
    <w:rsid w:val="003D37D2"/>
    <w:rsid w:val="00416712"/>
    <w:rsid w:val="00464A89"/>
    <w:rsid w:val="00486873"/>
    <w:rsid w:val="004B4E45"/>
    <w:rsid w:val="00501D0C"/>
    <w:rsid w:val="0056562D"/>
    <w:rsid w:val="005C1496"/>
    <w:rsid w:val="00625508"/>
    <w:rsid w:val="006522E8"/>
    <w:rsid w:val="007F1284"/>
    <w:rsid w:val="007F7626"/>
    <w:rsid w:val="00991A56"/>
    <w:rsid w:val="009F01E0"/>
    <w:rsid w:val="00B0076D"/>
    <w:rsid w:val="00B149B5"/>
    <w:rsid w:val="00B17491"/>
    <w:rsid w:val="00B73C1A"/>
    <w:rsid w:val="00C27D46"/>
    <w:rsid w:val="00CD42D7"/>
    <w:rsid w:val="00DF4FCE"/>
    <w:rsid w:val="00E61EDB"/>
    <w:rsid w:val="00F746B0"/>
    <w:rsid w:val="00FD2B0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2B61"/>
  <w15:chartTrackingRefBased/>
  <w15:docId w15:val="{EF639F0F-7BA5-4286-9D15-C09E5F3D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712"/>
    <w:rPr>
      <w:rFonts w:ascii="Book Antiqua" w:hAnsi="Book Antiqua"/>
    </w:rPr>
  </w:style>
  <w:style w:type="paragraph" w:styleId="Heading2">
    <w:name w:val="heading 2"/>
    <w:basedOn w:val="Normal"/>
    <w:next w:val="Normal"/>
    <w:link w:val="Heading2Char"/>
    <w:uiPriority w:val="9"/>
    <w:unhideWhenUsed/>
    <w:qFormat/>
    <w:rsid w:val="002D2033"/>
    <w:pPr>
      <w:keepNext/>
      <w:keepLines/>
      <w:spacing w:before="2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D37D2"/>
    <w:pPr>
      <w:keepNext/>
      <w:keepLines/>
      <w:spacing w:before="24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033"/>
    <w:rPr>
      <w:rFonts w:ascii="Book Antiqua" w:eastAsiaTheme="majorEastAsia" w:hAnsi="Book Antiqua" w:cstheme="majorBidi"/>
      <w:b/>
      <w:szCs w:val="26"/>
    </w:rPr>
  </w:style>
  <w:style w:type="paragraph" w:styleId="BodyTextIndent">
    <w:name w:val="Body Text Indent"/>
    <w:basedOn w:val="Normal"/>
    <w:link w:val="BodyTextIndentChar"/>
    <w:semiHidden/>
    <w:rsid w:val="002D2033"/>
    <w:pPr>
      <w:spacing w:after="0" w:line="240" w:lineRule="auto"/>
      <w:ind w:left="113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D203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3D37D2"/>
    <w:rPr>
      <w:rFonts w:ascii="Book Antiqua" w:eastAsiaTheme="majorEastAsia" w:hAnsi="Book Antiqua" w:cstheme="majorBidi"/>
      <w:b/>
      <w:szCs w:val="24"/>
    </w:rPr>
  </w:style>
  <w:style w:type="paragraph" w:styleId="TOC1">
    <w:name w:val="toc 1"/>
    <w:basedOn w:val="Normal"/>
    <w:next w:val="Normal"/>
    <w:autoRedefine/>
    <w:uiPriority w:val="39"/>
    <w:unhideWhenUsed/>
    <w:rsid w:val="00B17491"/>
    <w:pPr>
      <w:spacing w:after="100" w:line="240" w:lineRule="auto"/>
    </w:pPr>
  </w:style>
  <w:style w:type="numbering" w:customStyle="1" w:styleId="Applexluettelo">
    <w:name w:val="Applex luettelo"/>
    <w:uiPriority w:val="99"/>
    <w:rsid w:val="00CD42D7"/>
    <w:pPr>
      <w:numPr>
        <w:numId w:val="1"/>
      </w:numPr>
    </w:pPr>
  </w:style>
  <w:style w:type="table" w:styleId="TableGrid">
    <w:name w:val="Table Grid"/>
    <w:basedOn w:val="TableNormal"/>
    <w:uiPriority w:val="59"/>
    <w:rsid w:val="003529F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Normal">
    <w:name w:val="bor_Normal"/>
    <w:basedOn w:val="Normal"/>
    <w:qFormat/>
    <w:rsid w:val="003529F0"/>
    <w:pPr>
      <w:spacing w:after="10" w:line="240" w:lineRule="auto"/>
    </w:pPr>
    <w:rPr>
      <w:rFonts w:asciiTheme="minorHAnsi" w:hAnsiTheme="minorHAnsi"/>
      <w:sz w:val="20"/>
      <w:lang w:val="en-GB"/>
    </w:rPr>
  </w:style>
  <w:style w:type="paragraph" w:styleId="BalloonText">
    <w:name w:val="Balloon Text"/>
    <w:basedOn w:val="Normal"/>
    <w:link w:val="BalloonTextChar"/>
    <w:uiPriority w:val="99"/>
    <w:semiHidden/>
    <w:unhideWhenUsed/>
    <w:rsid w:val="009F01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1E0"/>
    <w:rPr>
      <w:rFonts w:ascii="Times New Roman" w:hAnsi="Times New Roman" w:cs="Times New Roman"/>
      <w:sz w:val="18"/>
      <w:szCs w:val="18"/>
    </w:rPr>
  </w:style>
  <w:style w:type="character" w:styleId="Hyperlink">
    <w:name w:val="Hyperlink"/>
    <w:basedOn w:val="DefaultParagraphFont"/>
    <w:uiPriority w:val="99"/>
    <w:unhideWhenUsed/>
    <w:rsid w:val="009F01E0"/>
    <w:rPr>
      <w:color w:val="0563C1" w:themeColor="hyperlink"/>
      <w:u w:val="single"/>
    </w:rPr>
  </w:style>
  <w:style w:type="character" w:styleId="UnresolvedMention">
    <w:name w:val="Unresolved Mention"/>
    <w:basedOn w:val="DefaultParagraphFont"/>
    <w:uiPriority w:val="99"/>
    <w:semiHidden/>
    <w:unhideWhenUsed/>
    <w:rsid w:val="009F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Applex</dc:creator>
  <cp:keywords/>
  <dc:description/>
  <cp:lastModifiedBy>Eija Salminen</cp:lastModifiedBy>
  <cp:revision>2</cp:revision>
  <dcterms:created xsi:type="dcterms:W3CDTF">2021-02-26T06:43:00Z</dcterms:created>
  <dcterms:modified xsi:type="dcterms:W3CDTF">2021-02-26T06:43:00Z</dcterms:modified>
</cp:coreProperties>
</file>